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  <w:t xml:space="preserve">Erin Denning Final Project Screenshots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  <w:t xml:space="preserve">Main Screen</w:t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87700"/>
            <wp:effectExtent b="0" l="0" r="0" t="0"/>
            <wp:docPr id="7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  <w:t xml:space="preserve">Help Activity</w:t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76600"/>
            <wp:effectExtent b="0" l="0" r="0" t="0"/>
            <wp:docPr id="2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  <w:t xml:space="preserve">User selected Preferences options.  Below, Grams and Liters are selected.  </w:t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38500"/>
            <wp:effectExtent b="0" l="0" r="0" t="0"/>
            <wp:docPr id="5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  <w:t xml:space="preserve">User Selected Preferences Now Display on the Main Screen</w:t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13100"/>
            <wp:effectExtent b="0" l="0" r="0" t="0"/>
            <wp:docPr id="12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  <w:t xml:space="preserve">Correct output of results using Grams and Liters units.  Units transfer to second activity as well.</w:t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022600"/>
            <wp:effectExtent b="0" l="0" r="0" t="0"/>
            <wp:docPr id="4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  <w:t xml:space="preserve">Milligrams and milliliters selected, plus coding for Preferences</w:t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62300"/>
            <wp:effectExtent b="0" l="0" r="0" t="0"/>
            <wp:docPr id="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  <w:t xml:space="preserve">Milligrams and Milliliters Displayed on Main Activity</w:t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933700"/>
            <wp:effectExtent b="0" l="0" r="0" t="0"/>
            <wp:docPr id="11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  <w:t xml:space="preserve">Results Plus Code for 2nd Activity</w:t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035300"/>
            <wp:effectExtent b="0" l="0" r="0" t="0"/>
            <wp:docPr id="1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  <w:t xml:space="preserve">Mix of Grams + Milliliters also outputs correct calculation (next 2 images)</w:t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844800"/>
            <wp:effectExtent b="0" l="0" r="0" t="0"/>
            <wp:docPr id="8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959100"/>
            <wp:effectExtent b="0" l="0" r="0" t="0"/>
            <wp:docPr id="9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 </w:t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  <w:t xml:space="preserve">Mix of Milligrams and Liters Results (next 2 images)</w:t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997200"/>
            <wp:effectExtent b="0" l="0" r="0" t="0"/>
            <wp:docPr id="6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24200"/>
            <wp:effectExtent b="0" l="0" r="0" t="0"/>
            <wp:docPr id="10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2.png"/><Relationship Id="rId10" Type="http://schemas.openxmlformats.org/officeDocument/2006/relationships/image" Target="media/image3.png"/><Relationship Id="rId13" Type="http://schemas.openxmlformats.org/officeDocument/2006/relationships/image" Target="media/image10.png"/><Relationship Id="rId12" Type="http://schemas.openxmlformats.org/officeDocument/2006/relationships/image" Target="media/image5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8.png"/><Relationship Id="rId15" Type="http://schemas.openxmlformats.org/officeDocument/2006/relationships/image" Target="media/image4.png"/><Relationship Id="rId14" Type="http://schemas.openxmlformats.org/officeDocument/2006/relationships/image" Target="media/image1.png"/><Relationship Id="rId17" Type="http://schemas.openxmlformats.org/officeDocument/2006/relationships/image" Target="media/image6.png"/><Relationship Id="rId16" Type="http://schemas.openxmlformats.org/officeDocument/2006/relationships/image" Target="media/image7.png"/><Relationship Id="rId5" Type="http://schemas.openxmlformats.org/officeDocument/2006/relationships/styles" Target="styles.xml"/><Relationship Id="rId6" Type="http://schemas.openxmlformats.org/officeDocument/2006/relationships/image" Target="media/image12.png"/><Relationship Id="rId7" Type="http://schemas.openxmlformats.org/officeDocument/2006/relationships/image" Target="media/image11.png"/><Relationship Id="rId8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